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9204C" w14:textId="77777777" w:rsidR="004F12FE" w:rsidRDefault="004F12FE" w:rsidP="004F12FE">
      <w:pPr>
        <w:jc w:val="center"/>
        <w:rPr>
          <w:b/>
          <w:bCs/>
          <w:kern w:val="0"/>
          <w:sz w:val="36"/>
          <w:szCs w:val="36"/>
          <w:u w:val="single"/>
        </w:rPr>
      </w:pPr>
      <w:r w:rsidRPr="00670019">
        <w:rPr>
          <w:noProof/>
          <w:sz w:val="32"/>
          <w:szCs w:val="32"/>
          <w:u w:val="single"/>
        </w:rPr>
        <w:drawing>
          <wp:anchor distT="0" distB="0" distL="114300" distR="114300" simplePos="0" relativeHeight="251659264" behindDoc="1" locked="0" layoutInCell="1" allowOverlap="1" wp14:anchorId="658C6FA0" wp14:editId="72B3D806">
            <wp:simplePos x="0" y="0"/>
            <wp:positionH relativeFrom="margin">
              <wp:align>left</wp:align>
            </wp:positionH>
            <wp:positionV relativeFrom="paragraph">
              <wp:posOffset>0</wp:posOffset>
            </wp:positionV>
            <wp:extent cx="871220" cy="790575"/>
            <wp:effectExtent l="0" t="0" r="5080" b="9525"/>
            <wp:wrapTight wrapText="bothSides">
              <wp:wrapPolygon edited="0">
                <wp:start x="0" y="0"/>
                <wp:lineTo x="0" y="21340"/>
                <wp:lineTo x="21254" y="21340"/>
                <wp:lineTo x="212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wo.jpg"/>
                    <pic:cNvPicPr/>
                  </pic:nvPicPr>
                  <pic:blipFill>
                    <a:blip r:embed="rId8">
                      <a:extLst>
                        <a:ext uri="{28A0092B-C50C-407E-A947-70E740481C1C}">
                          <a14:useLocalDpi xmlns:a14="http://schemas.microsoft.com/office/drawing/2010/main" val="0"/>
                        </a:ext>
                      </a:extLst>
                    </a:blip>
                    <a:stretch>
                      <a:fillRect/>
                    </a:stretch>
                  </pic:blipFill>
                  <pic:spPr>
                    <a:xfrm>
                      <a:off x="0" y="0"/>
                      <a:ext cx="871220" cy="790575"/>
                    </a:xfrm>
                    <a:prstGeom prst="rect">
                      <a:avLst/>
                    </a:prstGeom>
                  </pic:spPr>
                </pic:pic>
              </a:graphicData>
            </a:graphic>
            <wp14:sizeRelH relativeFrom="page">
              <wp14:pctWidth>0</wp14:pctWidth>
            </wp14:sizeRelH>
            <wp14:sizeRelV relativeFrom="page">
              <wp14:pctHeight>0</wp14:pctHeight>
            </wp14:sizeRelV>
          </wp:anchor>
        </w:drawing>
      </w:r>
      <w:r w:rsidRPr="00670019">
        <w:rPr>
          <w:b/>
          <w:bCs/>
          <w:kern w:val="0"/>
          <w:sz w:val="36"/>
          <w:szCs w:val="36"/>
          <w:u w:val="single"/>
        </w:rPr>
        <w:t xml:space="preserve">Missouri PTA </w:t>
      </w:r>
      <w:r w:rsidR="007146E8">
        <w:rPr>
          <w:b/>
          <w:bCs/>
          <w:kern w:val="0"/>
          <w:sz w:val="36"/>
          <w:szCs w:val="36"/>
          <w:u w:val="single"/>
        </w:rPr>
        <w:t xml:space="preserve">Non-Application </w:t>
      </w:r>
      <w:r w:rsidRPr="00670019">
        <w:rPr>
          <w:b/>
          <w:bCs/>
          <w:kern w:val="0"/>
          <w:sz w:val="36"/>
          <w:szCs w:val="36"/>
          <w:u w:val="single"/>
        </w:rPr>
        <w:t>Membership Awards</w:t>
      </w:r>
    </w:p>
    <w:p w14:paraId="2158E7DE" w14:textId="255B6B1C" w:rsidR="004F12FE" w:rsidRPr="00670019" w:rsidRDefault="004F12FE" w:rsidP="004F12FE">
      <w:pPr>
        <w:jc w:val="center"/>
        <w:rPr>
          <w:kern w:val="0"/>
          <w:sz w:val="24"/>
          <w:szCs w:val="24"/>
        </w:rPr>
      </w:pPr>
      <w:r>
        <w:rPr>
          <w:kern w:val="0"/>
          <w:sz w:val="24"/>
          <w:szCs w:val="24"/>
        </w:rPr>
        <w:t xml:space="preserve">DUES must be postmarked to the state office </w:t>
      </w:r>
      <w:r w:rsidRPr="00322E4E">
        <w:rPr>
          <w:kern w:val="0"/>
          <w:sz w:val="24"/>
          <w:szCs w:val="24"/>
          <w:highlight w:val="yellow"/>
        </w:rPr>
        <w:t>by March 1, 201</w:t>
      </w:r>
      <w:r w:rsidR="00765ED5" w:rsidRPr="00322E4E">
        <w:rPr>
          <w:kern w:val="0"/>
          <w:sz w:val="24"/>
          <w:szCs w:val="24"/>
          <w:highlight w:val="yellow"/>
        </w:rPr>
        <w:t>7</w:t>
      </w:r>
      <w:r>
        <w:rPr>
          <w:kern w:val="0"/>
          <w:sz w:val="24"/>
          <w:szCs w:val="24"/>
        </w:rPr>
        <w:t xml:space="preserve"> to be counted for awards</w:t>
      </w:r>
      <w:r w:rsidR="007A1FC5">
        <w:rPr>
          <w:kern w:val="0"/>
          <w:sz w:val="24"/>
          <w:szCs w:val="24"/>
        </w:rPr>
        <w:t>.</w:t>
      </w:r>
    </w:p>
    <w:p w14:paraId="6AC3E478" w14:textId="77777777" w:rsidR="004F12FE" w:rsidRDefault="004F12FE" w:rsidP="004F12FE">
      <w:pPr>
        <w:rPr>
          <w:b/>
          <w:kern w:val="0"/>
          <w:sz w:val="24"/>
          <w:szCs w:val="24"/>
          <w:u w:val="single"/>
        </w:rPr>
      </w:pPr>
    </w:p>
    <w:p w14:paraId="7820D1F7" w14:textId="77777777" w:rsidR="004F12FE" w:rsidRDefault="004F12FE" w:rsidP="004F12FE">
      <w:pPr>
        <w:rPr>
          <w:b/>
          <w:kern w:val="0"/>
          <w:sz w:val="24"/>
          <w:szCs w:val="24"/>
          <w:u w:val="single"/>
        </w:rPr>
      </w:pPr>
    </w:p>
    <w:p w14:paraId="1E23F308" w14:textId="34AA2327" w:rsidR="007146E8" w:rsidRPr="007146E8" w:rsidRDefault="007146E8" w:rsidP="004F12FE">
      <w:pPr>
        <w:rPr>
          <w:kern w:val="0"/>
          <w:sz w:val="24"/>
          <w:szCs w:val="24"/>
        </w:rPr>
      </w:pPr>
      <w:r>
        <w:rPr>
          <w:kern w:val="0"/>
          <w:sz w:val="24"/>
          <w:szCs w:val="24"/>
        </w:rPr>
        <w:t xml:space="preserve">Missouri PTA will present to all units that qualify </w:t>
      </w:r>
      <w:r w:rsidRPr="00595841">
        <w:rPr>
          <w:kern w:val="0"/>
          <w:sz w:val="24"/>
          <w:szCs w:val="24"/>
        </w:rPr>
        <w:t xml:space="preserve">any </w:t>
      </w:r>
      <w:r w:rsidR="00052F79" w:rsidRPr="00595841">
        <w:rPr>
          <w:kern w:val="0"/>
          <w:sz w:val="24"/>
          <w:szCs w:val="24"/>
        </w:rPr>
        <w:t>or all</w:t>
      </w:r>
      <w:r w:rsidR="00052F79">
        <w:rPr>
          <w:kern w:val="0"/>
          <w:sz w:val="24"/>
          <w:szCs w:val="24"/>
        </w:rPr>
        <w:t xml:space="preserve"> </w:t>
      </w:r>
      <w:r>
        <w:rPr>
          <w:kern w:val="0"/>
          <w:sz w:val="24"/>
          <w:szCs w:val="24"/>
        </w:rPr>
        <w:t xml:space="preserve">of the below awards.  NO application is necessary to receive these </w:t>
      </w:r>
      <w:r w:rsidR="00442148">
        <w:rPr>
          <w:kern w:val="0"/>
          <w:sz w:val="24"/>
          <w:szCs w:val="24"/>
        </w:rPr>
        <w:t>awards;</w:t>
      </w:r>
      <w:r>
        <w:rPr>
          <w:kern w:val="0"/>
          <w:sz w:val="24"/>
          <w:szCs w:val="24"/>
        </w:rPr>
        <w:t xml:space="preserve"> they are based off of your membership dues remitted to Missouri PT</w:t>
      </w:r>
      <w:r w:rsidRPr="00322E4E">
        <w:rPr>
          <w:kern w:val="0"/>
          <w:sz w:val="24"/>
          <w:szCs w:val="24"/>
          <w:highlight w:val="yellow"/>
        </w:rPr>
        <w:t>A by March 1</w:t>
      </w:r>
      <w:r w:rsidRPr="00322E4E">
        <w:rPr>
          <w:kern w:val="0"/>
          <w:sz w:val="24"/>
          <w:szCs w:val="24"/>
          <w:highlight w:val="yellow"/>
          <w:vertAlign w:val="superscript"/>
        </w:rPr>
        <w:t>st</w:t>
      </w:r>
      <w:r w:rsidRPr="00322E4E">
        <w:rPr>
          <w:kern w:val="0"/>
          <w:sz w:val="24"/>
          <w:szCs w:val="24"/>
          <w:highlight w:val="yellow"/>
        </w:rPr>
        <w:t>.</w:t>
      </w:r>
      <w:r>
        <w:rPr>
          <w:kern w:val="0"/>
          <w:sz w:val="24"/>
          <w:szCs w:val="24"/>
        </w:rPr>
        <w:t xml:space="preserve">  School Enrollment numbers are obtained from DESE.</w:t>
      </w:r>
    </w:p>
    <w:p w14:paraId="642F4EF3" w14:textId="77777777" w:rsidR="004F12FE" w:rsidRPr="001F5023" w:rsidRDefault="004F12FE" w:rsidP="004F12FE">
      <w:pPr>
        <w:rPr>
          <w:bCs/>
          <w:kern w:val="0"/>
          <w:sz w:val="16"/>
          <w:szCs w:val="16"/>
        </w:rPr>
      </w:pPr>
    </w:p>
    <w:p w14:paraId="05F4A057" w14:textId="77777777" w:rsidR="004F12FE" w:rsidRPr="007146E8" w:rsidRDefault="004F12FE" w:rsidP="007146E8">
      <w:pPr>
        <w:rPr>
          <w:kern w:val="0"/>
          <w:sz w:val="28"/>
          <w:szCs w:val="28"/>
          <w:u w:val="single"/>
        </w:rPr>
      </w:pPr>
      <w:r w:rsidRPr="007146E8">
        <w:rPr>
          <w:b/>
          <w:bCs/>
          <w:kern w:val="0"/>
          <w:sz w:val="28"/>
          <w:szCs w:val="28"/>
          <w:u w:val="single"/>
        </w:rPr>
        <w:t>Oak Leaf Award</w:t>
      </w:r>
    </w:p>
    <w:p w14:paraId="14B7D7D7" w14:textId="77777777" w:rsidR="007146E8" w:rsidRDefault="007146E8" w:rsidP="007146E8">
      <w:pPr>
        <w:rPr>
          <w:kern w:val="0"/>
          <w:sz w:val="24"/>
          <w:szCs w:val="24"/>
        </w:rPr>
      </w:pPr>
    </w:p>
    <w:p w14:paraId="6BE0095A" w14:textId="77777777" w:rsidR="004F12FE" w:rsidRPr="00E018CC" w:rsidRDefault="004F12FE" w:rsidP="007146E8">
      <w:pPr>
        <w:rPr>
          <w:kern w:val="0"/>
          <w:sz w:val="24"/>
          <w:szCs w:val="24"/>
        </w:rPr>
      </w:pPr>
      <w:r w:rsidRPr="00E018CC">
        <w:rPr>
          <w:kern w:val="0"/>
          <w:sz w:val="24"/>
          <w:szCs w:val="24"/>
        </w:rPr>
        <w:t xml:space="preserve">Units may earn this award by achieving an increase of 10% or more in total memberships over the previous year’s membership totals.  </w:t>
      </w:r>
    </w:p>
    <w:p w14:paraId="0CD3AF05" w14:textId="77777777" w:rsidR="004F12FE" w:rsidRPr="001F5023" w:rsidRDefault="004F12FE" w:rsidP="004F12FE">
      <w:pPr>
        <w:rPr>
          <w:bCs/>
          <w:kern w:val="0"/>
          <w:sz w:val="16"/>
          <w:szCs w:val="16"/>
        </w:rPr>
      </w:pPr>
    </w:p>
    <w:p w14:paraId="2FEE06E5" w14:textId="77777777" w:rsidR="004F12FE" w:rsidRPr="007146E8" w:rsidRDefault="004F12FE" w:rsidP="007146E8">
      <w:pPr>
        <w:rPr>
          <w:kern w:val="0"/>
          <w:sz w:val="28"/>
          <w:szCs w:val="28"/>
          <w:u w:val="single"/>
        </w:rPr>
      </w:pPr>
      <w:r w:rsidRPr="007146E8">
        <w:rPr>
          <w:b/>
          <w:bCs/>
          <w:kern w:val="0"/>
          <w:sz w:val="28"/>
          <w:szCs w:val="28"/>
          <w:u w:val="single"/>
        </w:rPr>
        <w:t>Early Bird Award</w:t>
      </w:r>
    </w:p>
    <w:p w14:paraId="598B3BE2" w14:textId="77777777" w:rsidR="007146E8" w:rsidRDefault="007146E8" w:rsidP="007146E8">
      <w:pPr>
        <w:rPr>
          <w:kern w:val="0"/>
          <w:sz w:val="24"/>
          <w:szCs w:val="24"/>
        </w:rPr>
      </w:pPr>
    </w:p>
    <w:p w14:paraId="4D852BE3" w14:textId="7CFB8724" w:rsidR="004F12FE" w:rsidRPr="00E018CC" w:rsidRDefault="004F12FE" w:rsidP="007146E8">
      <w:pPr>
        <w:rPr>
          <w:kern w:val="0"/>
          <w:sz w:val="24"/>
          <w:szCs w:val="24"/>
        </w:rPr>
      </w:pPr>
      <w:r w:rsidRPr="00E018CC">
        <w:rPr>
          <w:kern w:val="0"/>
          <w:sz w:val="24"/>
          <w:szCs w:val="24"/>
        </w:rPr>
        <w:t xml:space="preserve">This award is designed to encourage units to get an early start on their membership drives and to promptly send the state and national portion of their dues to the state office.  The unit which sends the </w:t>
      </w:r>
      <w:r w:rsidRPr="00E018CC">
        <w:rPr>
          <w:b/>
          <w:bCs/>
          <w:kern w:val="0"/>
          <w:sz w:val="24"/>
          <w:szCs w:val="24"/>
        </w:rPr>
        <w:t>HIGHEST MEMBERSHIP</w:t>
      </w:r>
      <w:r w:rsidRPr="00E018CC">
        <w:rPr>
          <w:kern w:val="0"/>
          <w:sz w:val="24"/>
          <w:szCs w:val="24"/>
        </w:rPr>
        <w:t xml:space="preserve"> BASED ON last year’s </w:t>
      </w:r>
      <w:r w:rsidRPr="00E018CC">
        <w:rPr>
          <w:b/>
          <w:bCs/>
          <w:kern w:val="0"/>
          <w:sz w:val="24"/>
          <w:szCs w:val="24"/>
        </w:rPr>
        <w:t>TOTAL MEMBERSHIP</w:t>
      </w:r>
      <w:r w:rsidRPr="00E018CC">
        <w:rPr>
          <w:kern w:val="0"/>
          <w:sz w:val="24"/>
          <w:szCs w:val="24"/>
        </w:rPr>
        <w:t xml:space="preserve"> sent to the state office </w:t>
      </w:r>
      <w:r w:rsidRPr="001F5023">
        <w:rPr>
          <w:b/>
          <w:bCs/>
          <w:kern w:val="0"/>
          <w:sz w:val="24"/>
          <w:szCs w:val="24"/>
          <w:u w:val="single"/>
        </w:rPr>
        <w:t>POSTMARKED ON OR BEFORE</w:t>
      </w:r>
      <w:r w:rsidRPr="001F5023">
        <w:rPr>
          <w:kern w:val="0"/>
          <w:sz w:val="24"/>
          <w:szCs w:val="24"/>
          <w:u w:val="single"/>
        </w:rPr>
        <w:t xml:space="preserve"> </w:t>
      </w:r>
      <w:r w:rsidRPr="00322E4E">
        <w:rPr>
          <w:b/>
          <w:bCs/>
          <w:kern w:val="0"/>
          <w:sz w:val="24"/>
          <w:szCs w:val="24"/>
          <w:highlight w:val="yellow"/>
          <w:u w:val="single"/>
        </w:rPr>
        <w:t>SEPTEMBER 2</w:t>
      </w:r>
      <w:r w:rsidR="007A1FC5" w:rsidRPr="00322E4E">
        <w:rPr>
          <w:b/>
          <w:bCs/>
          <w:kern w:val="0"/>
          <w:sz w:val="24"/>
          <w:szCs w:val="24"/>
          <w:highlight w:val="yellow"/>
          <w:u w:val="single"/>
        </w:rPr>
        <w:t>5</w:t>
      </w:r>
      <w:r w:rsidRPr="00322E4E">
        <w:rPr>
          <w:b/>
          <w:bCs/>
          <w:kern w:val="0"/>
          <w:sz w:val="24"/>
          <w:szCs w:val="24"/>
          <w:highlight w:val="yellow"/>
          <w:u w:val="single"/>
        </w:rPr>
        <w:t>, 201</w:t>
      </w:r>
      <w:r w:rsidR="00765ED5" w:rsidRPr="00322E4E">
        <w:rPr>
          <w:b/>
          <w:bCs/>
          <w:kern w:val="0"/>
          <w:sz w:val="24"/>
          <w:szCs w:val="24"/>
          <w:highlight w:val="yellow"/>
          <w:u w:val="single"/>
        </w:rPr>
        <w:t>6</w:t>
      </w:r>
      <w:r w:rsidR="00765ED5">
        <w:rPr>
          <w:bCs/>
          <w:kern w:val="0"/>
          <w:sz w:val="24"/>
          <w:szCs w:val="24"/>
        </w:rPr>
        <w:t xml:space="preserve"> will</w:t>
      </w:r>
      <w:r w:rsidRPr="00E018CC">
        <w:rPr>
          <w:kern w:val="0"/>
          <w:sz w:val="24"/>
          <w:szCs w:val="24"/>
        </w:rPr>
        <w:t xml:space="preserve"> earn the </w:t>
      </w:r>
      <w:r w:rsidRPr="00E018CC">
        <w:rPr>
          <w:b/>
          <w:bCs/>
          <w:kern w:val="0"/>
          <w:sz w:val="24"/>
          <w:szCs w:val="24"/>
        </w:rPr>
        <w:t>EARLY BIRD AWARD</w:t>
      </w:r>
      <w:r w:rsidRPr="00E018CC">
        <w:rPr>
          <w:kern w:val="0"/>
          <w:sz w:val="24"/>
          <w:szCs w:val="24"/>
        </w:rPr>
        <w:t xml:space="preserve"> and will be recognized at the Missouri PTA State Convention.  There will be 3 winners - one in each of the following categories:  Early Childhood/Elementary/Special Education; Middle School-Jr. High/Combined Unit and High School.  Winners will be notified by email and mail.</w:t>
      </w:r>
    </w:p>
    <w:p w14:paraId="08F174B1" w14:textId="77777777" w:rsidR="004F12FE" w:rsidRPr="001F5023" w:rsidRDefault="004F12FE" w:rsidP="004F12FE">
      <w:pPr>
        <w:rPr>
          <w:bCs/>
          <w:kern w:val="0"/>
          <w:sz w:val="16"/>
          <w:szCs w:val="16"/>
        </w:rPr>
      </w:pPr>
    </w:p>
    <w:p w14:paraId="321659E2" w14:textId="77777777" w:rsidR="004F12FE" w:rsidRPr="007146E8" w:rsidRDefault="004F12FE" w:rsidP="007146E8">
      <w:pPr>
        <w:rPr>
          <w:kern w:val="0"/>
          <w:sz w:val="28"/>
          <w:szCs w:val="28"/>
          <w:u w:val="single"/>
        </w:rPr>
      </w:pPr>
      <w:r w:rsidRPr="007146E8">
        <w:rPr>
          <w:b/>
          <w:bCs/>
          <w:kern w:val="0"/>
          <w:sz w:val="28"/>
          <w:szCs w:val="28"/>
          <w:u w:val="single"/>
        </w:rPr>
        <w:t>Community Involvement Award</w:t>
      </w:r>
    </w:p>
    <w:p w14:paraId="1E82F3B1" w14:textId="77777777" w:rsidR="007146E8" w:rsidRDefault="007146E8" w:rsidP="007146E8">
      <w:pPr>
        <w:rPr>
          <w:kern w:val="0"/>
          <w:sz w:val="24"/>
          <w:szCs w:val="24"/>
        </w:rPr>
      </w:pPr>
    </w:p>
    <w:p w14:paraId="7E135B97" w14:textId="77777777" w:rsidR="00052F79" w:rsidRDefault="004F12FE" w:rsidP="007146E8">
      <w:pPr>
        <w:rPr>
          <w:kern w:val="0"/>
          <w:sz w:val="24"/>
          <w:szCs w:val="24"/>
        </w:rPr>
      </w:pPr>
      <w:r w:rsidRPr="00E018CC">
        <w:rPr>
          <w:kern w:val="0"/>
          <w:sz w:val="24"/>
          <w:szCs w:val="24"/>
        </w:rPr>
        <w:t>This award is prese</w:t>
      </w:r>
      <w:r w:rsidR="007A1FC5">
        <w:rPr>
          <w:kern w:val="0"/>
          <w:sz w:val="24"/>
          <w:szCs w:val="24"/>
        </w:rPr>
        <w:t>nted to the single PTA unit in</w:t>
      </w:r>
      <w:r w:rsidRPr="00E018CC">
        <w:rPr>
          <w:kern w:val="0"/>
          <w:sz w:val="24"/>
          <w:szCs w:val="24"/>
        </w:rPr>
        <w:t xml:space="preserve"> Missouri that sells the highest number of business memberships during the year.  This award will be presented at the Missouri PTA Convention.  The winning </w:t>
      </w:r>
    </w:p>
    <w:p w14:paraId="20CB96CF" w14:textId="47ADBA8C" w:rsidR="004F12FE" w:rsidRDefault="004F12FE" w:rsidP="007146E8">
      <w:pPr>
        <w:rPr>
          <w:kern w:val="0"/>
          <w:sz w:val="24"/>
          <w:szCs w:val="24"/>
        </w:rPr>
      </w:pPr>
      <w:r w:rsidRPr="00E018CC">
        <w:rPr>
          <w:kern w:val="0"/>
          <w:sz w:val="24"/>
          <w:szCs w:val="24"/>
        </w:rPr>
        <w:t>unit will be notified by email and mail.</w:t>
      </w:r>
    </w:p>
    <w:p w14:paraId="3D653DF2" w14:textId="77777777" w:rsidR="004F12FE" w:rsidRPr="001F5023" w:rsidRDefault="004F12FE" w:rsidP="004F12FE">
      <w:pPr>
        <w:rPr>
          <w:kern w:val="0"/>
          <w:sz w:val="16"/>
          <w:szCs w:val="16"/>
        </w:rPr>
      </w:pPr>
    </w:p>
    <w:p w14:paraId="70062FF9" w14:textId="77777777" w:rsidR="004F12FE" w:rsidRPr="007146E8" w:rsidRDefault="004F12FE" w:rsidP="007146E8">
      <w:pPr>
        <w:rPr>
          <w:b/>
          <w:bCs/>
          <w:kern w:val="0"/>
          <w:sz w:val="28"/>
          <w:szCs w:val="28"/>
          <w:u w:val="single"/>
        </w:rPr>
      </w:pPr>
      <w:r w:rsidRPr="007146E8">
        <w:rPr>
          <w:b/>
          <w:bCs/>
          <w:kern w:val="0"/>
          <w:sz w:val="28"/>
          <w:szCs w:val="28"/>
          <w:u w:val="single"/>
        </w:rPr>
        <w:t>Golden Gavel Awards</w:t>
      </w:r>
    </w:p>
    <w:p w14:paraId="386B531A" w14:textId="77777777" w:rsidR="007146E8" w:rsidRDefault="007146E8" w:rsidP="007146E8">
      <w:pPr>
        <w:rPr>
          <w:kern w:val="0"/>
          <w:sz w:val="24"/>
          <w:szCs w:val="24"/>
        </w:rPr>
      </w:pPr>
    </w:p>
    <w:p w14:paraId="085FD8CD" w14:textId="77777777" w:rsidR="004F12FE" w:rsidRDefault="004F12FE" w:rsidP="007146E8">
      <w:pPr>
        <w:rPr>
          <w:kern w:val="0"/>
          <w:sz w:val="24"/>
          <w:szCs w:val="24"/>
        </w:rPr>
      </w:pPr>
      <w:r w:rsidRPr="00E018CC">
        <w:rPr>
          <w:kern w:val="0"/>
          <w:sz w:val="24"/>
          <w:szCs w:val="24"/>
        </w:rPr>
        <w:t>Units that attain the highest achievements in membership earn the GOLDEN GAVEL AWARDS.  These awards are based on the following:</w:t>
      </w:r>
    </w:p>
    <w:tbl>
      <w:tblPr>
        <w:tblStyle w:val="TableGrid"/>
        <w:tblW w:w="972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4F12FE" w14:paraId="6A18CCDE" w14:textId="77777777" w:rsidTr="007146E8">
        <w:tc>
          <w:tcPr>
            <w:tcW w:w="9720" w:type="dxa"/>
          </w:tcPr>
          <w:p w14:paraId="600CE778" w14:textId="77777777" w:rsidR="004F12FE" w:rsidRDefault="004F12FE" w:rsidP="00F15486">
            <w:pPr>
              <w:numPr>
                <w:ilvl w:val="0"/>
                <w:numId w:val="1"/>
              </w:numPr>
              <w:tabs>
                <w:tab w:val="clear" w:pos="540"/>
                <w:tab w:val="num" w:pos="720"/>
              </w:tabs>
              <w:ind w:left="720" w:hanging="360"/>
              <w:rPr>
                <w:b/>
                <w:bCs/>
                <w:kern w:val="0"/>
                <w:sz w:val="24"/>
                <w:szCs w:val="24"/>
              </w:rPr>
            </w:pPr>
            <w:r w:rsidRPr="00E018CC">
              <w:rPr>
                <w:kern w:val="0"/>
                <w:sz w:val="24"/>
                <w:szCs w:val="24"/>
              </w:rPr>
              <w:t xml:space="preserve">Unit with the highest NUMERICAL INCREASE. </w:t>
            </w:r>
          </w:p>
        </w:tc>
      </w:tr>
      <w:tr w:rsidR="004F12FE" w14:paraId="28CF40E1" w14:textId="77777777" w:rsidTr="007146E8">
        <w:tc>
          <w:tcPr>
            <w:tcW w:w="9720" w:type="dxa"/>
          </w:tcPr>
          <w:p w14:paraId="54785E87" w14:textId="77777777" w:rsidR="004F12FE" w:rsidRDefault="004F12FE" w:rsidP="00F15486">
            <w:pPr>
              <w:numPr>
                <w:ilvl w:val="0"/>
                <w:numId w:val="1"/>
              </w:numPr>
              <w:tabs>
                <w:tab w:val="clear" w:pos="540"/>
                <w:tab w:val="num" w:pos="720"/>
              </w:tabs>
              <w:ind w:left="720" w:hanging="360"/>
              <w:rPr>
                <w:b/>
                <w:bCs/>
                <w:kern w:val="0"/>
                <w:sz w:val="24"/>
                <w:szCs w:val="24"/>
              </w:rPr>
            </w:pPr>
            <w:r w:rsidRPr="00E018CC">
              <w:rPr>
                <w:kern w:val="0"/>
                <w:sz w:val="24"/>
                <w:szCs w:val="24"/>
              </w:rPr>
              <w:t xml:space="preserve">Unit with the highest PERCENTAGE INCREASE. </w:t>
            </w:r>
          </w:p>
        </w:tc>
      </w:tr>
      <w:tr w:rsidR="004F12FE" w14:paraId="2DA1B993" w14:textId="77777777" w:rsidTr="007146E8">
        <w:tc>
          <w:tcPr>
            <w:tcW w:w="9720" w:type="dxa"/>
          </w:tcPr>
          <w:p w14:paraId="31F8B76E" w14:textId="77777777" w:rsidR="004F12FE" w:rsidRDefault="004F12FE" w:rsidP="00F15486">
            <w:pPr>
              <w:numPr>
                <w:ilvl w:val="0"/>
                <w:numId w:val="1"/>
              </w:numPr>
              <w:tabs>
                <w:tab w:val="clear" w:pos="540"/>
                <w:tab w:val="num" w:pos="720"/>
              </w:tabs>
              <w:ind w:left="720" w:hanging="360"/>
              <w:rPr>
                <w:b/>
                <w:bCs/>
                <w:kern w:val="0"/>
                <w:sz w:val="24"/>
                <w:szCs w:val="24"/>
              </w:rPr>
            </w:pPr>
            <w:r w:rsidRPr="00E018CC">
              <w:rPr>
                <w:kern w:val="0"/>
                <w:sz w:val="24"/>
                <w:szCs w:val="24"/>
              </w:rPr>
              <w:t xml:space="preserve">Unit with the highest MEMBERSHIP TOTAL. </w:t>
            </w:r>
          </w:p>
        </w:tc>
      </w:tr>
      <w:tr w:rsidR="004F12FE" w14:paraId="61B79CB9" w14:textId="77777777" w:rsidTr="007146E8">
        <w:tc>
          <w:tcPr>
            <w:tcW w:w="9720" w:type="dxa"/>
          </w:tcPr>
          <w:p w14:paraId="3059023D" w14:textId="77777777" w:rsidR="004F12FE" w:rsidRPr="00055A07" w:rsidRDefault="004F12FE" w:rsidP="00F15486">
            <w:pPr>
              <w:pStyle w:val="ListParagraph"/>
              <w:numPr>
                <w:ilvl w:val="0"/>
                <w:numId w:val="2"/>
              </w:numPr>
              <w:rPr>
                <w:b/>
                <w:bCs/>
                <w:kern w:val="0"/>
                <w:sz w:val="24"/>
                <w:szCs w:val="24"/>
              </w:rPr>
            </w:pPr>
            <w:r w:rsidRPr="00055A07">
              <w:rPr>
                <w:kern w:val="0"/>
                <w:sz w:val="24"/>
                <w:szCs w:val="24"/>
              </w:rPr>
              <w:t>Unit with the highest MEMBERSHIP based upon school enrollment</w:t>
            </w:r>
          </w:p>
        </w:tc>
      </w:tr>
      <w:tr w:rsidR="004F12FE" w14:paraId="2DCD74AD" w14:textId="77777777" w:rsidTr="007146E8">
        <w:tc>
          <w:tcPr>
            <w:tcW w:w="9720" w:type="dxa"/>
          </w:tcPr>
          <w:p w14:paraId="5C0458BF" w14:textId="77777777" w:rsidR="004F12FE" w:rsidRPr="00055A07" w:rsidRDefault="004F12FE" w:rsidP="00F15486">
            <w:pPr>
              <w:rPr>
                <w:kern w:val="0"/>
                <w:sz w:val="24"/>
                <w:szCs w:val="24"/>
              </w:rPr>
            </w:pPr>
            <w:r w:rsidRPr="00E018CC">
              <w:rPr>
                <w:kern w:val="0"/>
                <w:sz w:val="24"/>
                <w:szCs w:val="24"/>
              </w:rPr>
              <w:t>These awards will be presented at the Missouri PTA Convention.  Winning units will be notified by email and mail.</w:t>
            </w:r>
          </w:p>
        </w:tc>
      </w:tr>
    </w:tbl>
    <w:p w14:paraId="3E01C9CB" w14:textId="77777777" w:rsidR="004F12FE" w:rsidRPr="00055A07" w:rsidRDefault="004F12FE" w:rsidP="004F12FE">
      <w:pPr>
        <w:rPr>
          <w:kern w:val="0"/>
          <w:sz w:val="18"/>
          <w:szCs w:val="18"/>
        </w:rPr>
      </w:pPr>
    </w:p>
    <w:p w14:paraId="65A74C62" w14:textId="77777777" w:rsidR="004F12FE" w:rsidRPr="007146E8" w:rsidRDefault="004F12FE" w:rsidP="007146E8">
      <w:pPr>
        <w:rPr>
          <w:b/>
          <w:bCs/>
          <w:kern w:val="0"/>
          <w:sz w:val="28"/>
          <w:szCs w:val="28"/>
          <w:u w:val="single"/>
        </w:rPr>
      </w:pPr>
      <w:r w:rsidRPr="007146E8">
        <w:rPr>
          <w:b/>
          <w:bCs/>
          <w:kern w:val="0"/>
          <w:sz w:val="28"/>
          <w:szCs w:val="28"/>
          <w:u w:val="single"/>
        </w:rPr>
        <w:t>Missouri PTA Honor Roll</w:t>
      </w:r>
    </w:p>
    <w:p w14:paraId="5E2A2B0F" w14:textId="77777777" w:rsidR="007146E8" w:rsidRDefault="007146E8" w:rsidP="007146E8">
      <w:pPr>
        <w:rPr>
          <w:kern w:val="0"/>
          <w:sz w:val="24"/>
          <w:szCs w:val="24"/>
        </w:rPr>
      </w:pPr>
    </w:p>
    <w:p w14:paraId="12C2C807" w14:textId="19D1EF7E" w:rsidR="004F12FE" w:rsidRDefault="004F12FE" w:rsidP="007146E8">
      <w:pPr>
        <w:rPr>
          <w:i/>
          <w:iCs/>
          <w:kern w:val="0"/>
          <w:sz w:val="24"/>
          <w:szCs w:val="24"/>
        </w:rPr>
      </w:pPr>
      <w:r w:rsidRPr="00E018CC">
        <w:rPr>
          <w:kern w:val="0"/>
          <w:sz w:val="24"/>
          <w:szCs w:val="24"/>
        </w:rPr>
        <w:t>To qualify for the Honor Roll, your unit needs to either meet or exceed your previous year’s membership number</w:t>
      </w:r>
      <w:r w:rsidR="007A1FC5">
        <w:rPr>
          <w:kern w:val="0"/>
          <w:sz w:val="24"/>
          <w:szCs w:val="24"/>
        </w:rPr>
        <w:t xml:space="preserve">, and be a unit in </w:t>
      </w:r>
      <w:bookmarkStart w:id="0" w:name="_GoBack"/>
      <w:bookmarkEnd w:id="0"/>
      <w:r w:rsidR="007A1FC5" w:rsidRPr="00322E4E">
        <w:rPr>
          <w:kern w:val="0"/>
          <w:sz w:val="24"/>
          <w:szCs w:val="24"/>
          <w:highlight w:val="yellow"/>
        </w:rPr>
        <w:t>good standing,</w:t>
      </w:r>
      <w:r w:rsidRPr="00322E4E">
        <w:rPr>
          <w:kern w:val="0"/>
          <w:sz w:val="24"/>
          <w:szCs w:val="24"/>
          <w:highlight w:val="yellow"/>
        </w:rPr>
        <w:t xml:space="preserve"> by March 1, 201</w:t>
      </w:r>
      <w:r w:rsidR="008C508C" w:rsidRPr="00322E4E">
        <w:rPr>
          <w:kern w:val="0"/>
          <w:sz w:val="24"/>
          <w:szCs w:val="24"/>
          <w:highlight w:val="yellow"/>
        </w:rPr>
        <w:t>7</w:t>
      </w:r>
      <w:r w:rsidRPr="00322E4E">
        <w:rPr>
          <w:kern w:val="0"/>
          <w:sz w:val="24"/>
          <w:szCs w:val="24"/>
          <w:highlight w:val="yellow"/>
        </w:rPr>
        <w:t>.</w:t>
      </w:r>
      <w:r w:rsidRPr="00E018CC">
        <w:rPr>
          <w:kern w:val="0"/>
          <w:sz w:val="24"/>
          <w:szCs w:val="24"/>
        </w:rPr>
        <w:t xml:space="preserve">  Once qualified, your unit will receive an Honor Roll achievement certificate.   The Honor Roll will be published on the Missouri PTA website and in an issue of </w:t>
      </w:r>
      <w:r w:rsidRPr="00E018CC">
        <w:rPr>
          <w:i/>
          <w:iCs/>
          <w:kern w:val="0"/>
          <w:sz w:val="24"/>
          <w:szCs w:val="24"/>
        </w:rPr>
        <w:t>CONTACT</w:t>
      </w:r>
      <w:r w:rsidRPr="00E018CC">
        <w:rPr>
          <w:kern w:val="0"/>
          <w:sz w:val="24"/>
          <w:szCs w:val="24"/>
        </w:rPr>
        <w:t xml:space="preserve"> magazine. </w:t>
      </w:r>
      <w:r w:rsidRPr="00E018CC">
        <w:rPr>
          <w:i/>
          <w:iCs/>
          <w:kern w:val="0"/>
          <w:sz w:val="24"/>
          <w:szCs w:val="24"/>
        </w:rPr>
        <w:t>*New units are not eligible and existing units must have turned in membership</w:t>
      </w:r>
      <w:r w:rsidR="007A1FC5">
        <w:rPr>
          <w:i/>
          <w:iCs/>
          <w:kern w:val="0"/>
          <w:sz w:val="24"/>
          <w:szCs w:val="24"/>
        </w:rPr>
        <w:t xml:space="preserve"> dues</w:t>
      </w:r>
      <w:r w:rsidRPr="00E018CC">
        <w:rPr>
          <w:i/>
          <w:iCs/>
          <w:kern w:val="0"/>
          <w:sz w:val="24"/>
          <w:szCs w:val="24"/>
        </w:rPr>
        <w:t xml:space="preserve"> the prior year.</w:t>
      </w:r>
    </w:p>
    <w:p w14:paraId="55806565" w14:textId="77777777" w:rsidR="004F12FE" w:rsidRPr="00E018CC" w:rsidRDefault="004F12FE" w:rsidP="004F12FE">
      <w:pPr>
        <w:ind w:left="540"/>
        <w:rPr>
          <w:b/>
          <w:bCs/>
          <w:kern w:val="0"/>
          <w:sz w:val="24"/>
          <w:szCs w:val="24"/>
        </w:rPr>
      </w:pPr>
    </w:p>
    <w:p w14:paraId="39BEBE04" w14:textId="77777777" w:rsidR="00CE5B24" w:rsidRDefault="00322E4E"/>
    <w:sectPr w:rsidR="00CE5B24" w:rsidSect="004F12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bullet"/>
      <w:lvlText w:val="●"/>
      <w:lvlJc w:val="left"/>
      <w:pPr>
        <w:tabs>
          <w:tab w:val="num" w:pos="540"/>
        </w:tabs>
        <w:ind w:left="540" w:hanging="180"/>
      </w:pPr>
      <w:rPr>
        <w:rFonts w:ascii="Verdana" w:eastAsia="Verdana" w:hAnsi="Verdana" w:cs="Verdana"/>
        <w:b w:val="0"/>
        <w:bCs w:val="0"/>
        <w:i w:val="0"/>
        <w:iCs w:val="0"/>
        <w:strike w:val="0"/>
        <w:color w:val="000000"/>
        <w:sz w:val="20"/>
        <w:szCs w:val="20"/>
        <w:u w:val="none"/>
      </w:rPr>
    </w:lvl>
    <w:lvl w:ilvl="1" w:tplc="FFFFFFFF">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20370B1A"/>
    <w:multiLevelType w:val="hybridMultilevel"/>
    <w:tmpl w:val="B286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2FE"/>
    <w:rsid w:val="00052F79"/>
    <w:rsid w:val="001B36AF"/>
    <w:rsid w:val="001C5A36"/>
    <w:rsid w:val="003105F3"/>
    <w:rsid w:val="00322E4E"/>
    <w:rsid w:val="00442148"/>
    <w:rsid w:val="004F12FE"/>
    <w:rsid w:val="00595841"/>
    <w:rsid w:val="007146E8"/>
    <w:rsid w:val="00765ED5"/>
    <w:rsid w:val="007A1FC5"/>
    <w:rsid w:val="007D1968"/>
    <w:rsid w:val="00844691"/>
    <w:rsid w:val="00853F25"/>
    <w:rsid w:val="008C508C"/>
    <w:rsid w:val="00963145"/>
    <w:rsid w:val="00995D7D"/>
    <w:rsid w:val="00AC08B8"/>
    <w:rsid w:val="00CE3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C7E8"/>
  <w15:docId w15:val="{D6A62EDD-5018-4867-8AAF-5DC01C72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2FE"/>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1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1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B78102AF60B04ABA205E3EF065642E" ma:contentTypeVersion="3" ma:contentTypeDescription="Create a new document." ma:contentTypeScope="" ma:versionID="36d3a365ca1356760cb2c2ced73d41dc">
  <xsd:schema xmlns:xsd="http://www.w3.org/2001/XMLSchema" xmlns:xs="http://www.w3.org/2001/XMLSchema" xmlns:p="http://schemas.microsoft.com/office/2006/metadata/properties" xmlns:ns2="c3a6e9ef-a1f6-4766-94ca-80364285655b" targetNamespace="http://schemas.microsoft.com/office/2006/metadata/properties" ma:root="true" ma:fieldsID="e4c191083ac46d6a266b3ab9a01d2d68" ns2:_="">
    <xsd:import namespace="c3a6e9ef-a1f6-4766-94ca-80364285655b"/>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6e9ef-a1f6-4766-94ca-8036428565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20532B-4F8B-4A3B-BD9F-7C77FDB950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DB2329-2A6D-478A-B005-4DF50B42F7FE}"/>
</file>

<file path=customXml/itemProps3.xml><?xml version="1.0" encoding="utf-8"?>
<ds:datastoreItem xmlns:ds="http://schemas.openxmlformats.org/officeDocument/2006/customXml" ds:itemID="{2AA59C2F-3A2C-4CDB-B42E-80196B5145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BJC HealthCare</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Reed, Michele</dc:creator>
  <cp:lastModifiedBy>Michele Reed</cp:lastModifiedBy>
  <cp:revision>2</cp:revision>
  <dcterms:created xsi:type="dcterms:W3CDTF">2016-02-10T22:53:00Z</dcterms:created>
  <dcterms:modified xsi:type="dcterms:W3CDTF">2016-02-10T22:53:00Z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0x01010045B78102AF60B04ABA205E3EF065642E</vt:lpwstr>
  </property>
</Properties>
</file>